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8" w:rsidRDefault="00D24FA8" w:rsidP="00D24FA8">
      <w:pPr>
        <w:pStyle w:val="a3"/>
        <w:spacing w:line="360" w:lineRule="auto"/>
        <w:jc w:val="right"/>
        <w:rPr>
          <w:b/>
          <w:bCs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:rsidR="00E90BC3" w:rsidRDefault="00AD1219" w:rsidP="00AD1219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מחזור ז'- תש"פ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AD1219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AD1219">
        <w:rPr>
          <w:rFonts w:cs="David" w:hint="cs"/>
          <w:rtl/>
        </w:rPr>
        <w:t>תש"פ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1276"/>
        <w:gridCol w:w="1134"/>
        <w:gridCol w:w="1384"/>
      </w:tblGrid>
      <w:tr w:rsidR="00AD1219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bookmarkStart w:id="0" w:name="_GoBack"/>
            <w:bookmarkEnd w:id="0"/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AD1219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90BC3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התקבלה המועמדת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שיקולי </w:t>
      </w:r>
      <w:proofErr w:type="spellStart"/>
      <w:r>
        <w:rPr>
          <w:rFonts w:cs="David" w:hint="cs"/>
          <w:b/>
          <w:bCs/>
          <w:rtl/>
        </w:rPr>
        <w:t>ה</w:t>
      </w:r>
      <w:r w:rsidR="00E90BC3">
        <w:rPr>
          <w:rFonts w:cs="David" w:hint="cs"/>
          <w:b/>
          <w:bCs/>
          <w:rtl/>
        </w:rPr>
        <w:t>האוניברסיטה</w:t>
      </w:r>
      <w:proofErr w:type="spellEnd"/>
      <w:r w:rsidR="00E90BC3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302AE1"/>
    <w:rsid w:val="003F2A20"/>
    <w:rsid w:val="00712659"/>
    <w:rsid w:val="0084420A"/>
    <w:rsid w:val="008D66F3"/>
    <w:rsid w:val="009104C2"/>
    <w:rsid w:val="00AD1219"/>
    <w:rsid w:val="00C31302"/>
    <w:rsid w:val="00CB653D"/>
    <w:rsid w:val="00CE2ADD"/>
    <w:rsid w:val="00D24FA8"/>
    <w:rsid w:val="00D65C89"/>
    <w:rsid w:val="00D8511B"/>
    <w:rsid w:val="00E315F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0001A-37DD-4EA4-92E4-A2ED410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2018-12-24T19:23:00Z</dcterms:created>
  <dcterms:modified xsi:type="dcterms:W3CDTF">2018-12-24T19:23:00Z</dcterms:modified>
</cp:coreProperties>
</file>